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B63" w:rsidRDefault="00FC6F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1 (Definitions)</w:t>
      </w:r>
    </w:p>
    <w:p w:rsidR="00A27B63" w:rsidRDefault="00FC6FEB">
      <w:pPr>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A27B63" w:rsidRDefault="00FC6FEB">
      <w:pPr>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A27B63" w:rsidRDefault="00FC6FEB">
      <w:pPr>
        <w:keepNext/>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is a reference to (as it has effect from time to time):</w:t>
      </w:r>
    </w:p>
    <w:p w:rsidR="00A27B63" w:rsidRDefault="00FC6FEB">
      <w:pPr>
        <w:numPr>
          <w:ilvl w:val="3"/>
          <w:numId w:val="2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A27B63" w:rsidRDefault="00FC6FEB">
      <w:pPr>
        <w:numPr>
          <w:ilvl w:val="3"/>
          <w:numId w:val="2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A27B63" w:rsidRDefault="00FC6FEB">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roofErr w:type="gramStart"/>
      <w:r>
        <w:rPr>
          <w:rFonts w:ascii="Arial" w:eastAsia="Arial" w:hAnsi="Arial" w:cs="Arial"/>
          <w:color w:val="000000"/>
          <w:sz w:val="24"/>
          <w:szCs w:val="24"/>
        </w:rPr>
        <w:t>unless</w:t>
      </w:r>
      <w:proofErr w:type="gramEnd"/>
      <w:r>
        <w:rPr>
          <w:rFonts w:ascii="Arial" w:eastAsia="Arial" w:hAnsi="Arial" w:cs="Arial"/>
          <w:color w:val="000000"/>
          <w:sz w:val="24"/>
          <w:szCs w:val="24"/>
        </w:rPr>
        <w:t xml:space="preserve">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A27B63" w:rsidRDefault="00FC6FEB">
      <w:pPr>
        <w:keepNext/>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A27B63" w:rsidRDefault="00A27B63">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5"/>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"Achieve"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verify the costs of the Supplier (including the costs of all Subcontractors and any third party suppliers) in connection with the provision of the Services;</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w:t>
            </w:r>
            <w:r>
              <w:rPr>
                <w:rFonts w:ascii="Arial" w:eastAsia="Arial" w:hAnsi="Arial" w:cs="Arial"/>
                <w:sz w:val="24"/>
                <w:szCs w:val="24"/>
              </w:rPr>
              <w:t xml:space="preserve"> </w:t>
            </w:r>
            <w:r>
              <w:rPr>
                <w:rFonts w:ascii="Arial" w:eastAsia="Arial" w:hAnsi="Arial" w:cs="Arial"/>
                <w:color w:val="000000"/>
                <w:sz w:val="24"/>
                <w:szCs w:val="24"/>
              </w:rPr>
              <w:t>applicable Law;</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A27B63" w:rsidRDefault="00FC6FEB">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A27B63" w:rsidRDefault="00FC6FEB">
            <w:pPr>
              <w:numPr>
                <w:ilvl w:val="0"/>
                <w:numId w:val="18"/>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Relevant Authority’s</w:t>
            </w:r>
            <w:r>
              <w:rPr>
                <w:rFonts w:ascii="Arial" w:eastAsia="Arial" w:hAnsi="Arial" w:cs="Arial"/>
                <w:color w:val="000000"/>
                <w:sz w:val="24"/>
                <w:szCs w:val="24"/>
              </w:rPr>
              <w:t xml:space="preserve"> internal and external auditors;</w:t>
            </w:r>
          </w:p>
          <w:p w:rsidR="00A27B63" w:rsidRDefault="00FC6FEB">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Relevant Authority’s</w:t>
            </w:r>
            <w:r>
              <w:rPr>
                <w:rFonts w:ascii="Arial" w:eastAsia="Arial" w:hAnsi="Arial" w:cs="Arial"/>
                <w:color w:val="000000"/>
                <w:sz w:val="24"/>
                <w:szCs w:val="24"/>
              </w:rPr>
              <w:t xml:space="preserve"> statutory or regulatory auditors;</w:t>
            </w:r>
          </w:p>
          <w:p w:rsidR="00A27B63" w:rsidRDefault="00FC6FEB">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A27B63" w:rsidRDefault="00FC6FEB">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A27B63" w:rsidRDefault="00FC6FEB">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any party formally appointed by the </w:t>
            </w:r>
            <w:r>
              <w:rPr>
                <w:rFonts w:ascii="Arial" w:eastAsia="Arial" w:hAnsi="Arial" w:cs="Arial"/>
                <w:sz w:val="24"/>
                <w:szCs w:val="24"/>
              </w:rPr>
              <w:t>Relevant Authority’s</w:t>
            </w:r>
            <w:r>
              <w:rPr>
                <w:rFonts w:ascii="Arial" w:eastAsia="Arial" w:hAnsi="Arial" w:cs="Arial"/>
                <w:color w:val="000000"/>
                <w:sz w:val="24"/>
                <w:szCs w:val="24"/>
              </w:rPr>
              <w:t xml:space="preserve"> to carry out audit or similar review functions; and</w:t>
            </w:r>
          </w:p>
          <w:p w:rsidR="00A27B63" w:rsidRDefault="00FC6FEB">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27B63">
        <w:trPr>
          <w:trHeight w:val="601"/>
        </w:trPr>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rsidR="00A27B63" w:rsidRDefault="00FC6FEB">
            <w:pPr>
              <w:rPr>
                <w:rFonts w:ascii="Arial" w:eastAsia="Arial" w:hAnsi="Arial" w:cs="Arial"/>
                <w:sz w:val="24"/>
                <w:szCs w:val="24"/>
              </w:rPr>
            </w:pPr>
            <w:r>
              <w:rPr>
                <w:rFonts w:ascii="Arial" w:eastAsia="Arial" w:hAnsi="Arial" w:cs="Arial"/>
                <w:sz w:val="24"/>
                <w:szCs w:val="24"/>
              </w:rPr>
              <w:t>CCS and each Buyer;</w:t>
            </w:r>
          </w:p>
        </w:tc>
      </w:tr>
      <w:tr w:rsidR="00A27B63">
        <w:tc>
          <w:tcPr>
            <w:tcW w:w="2405" w:type="dxa"/>
          </w:tcPr>
          <w:p w:rsidR="00A27B63" w:rsidRDefault="00FC6FEB">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Relevant Authority or any other default, act, omission, negligence or statement of the Relevant </w:t>
            </w:r>
            <w:r>
              <w:rPr>
                <w:rFonts w:ascii="Arial" w:eastAsia="Arial" w:hAnsi="Arial" w:cs="Arial"/>
                <w:color w:val="000000"/>
                <w:sz w:val="24"/>
                <w:szCs w:val="24"/>
              </w:rPr>
              <w:lastRenderedPageBreak/>
              <w:t>Authority, of its employees, servants, agents in connection with or in relation to the subject-matter of the Contract and in respect of which the Relevant Authority is liable to the Supplier;</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"BACS"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27B63">
        <w:tc>
          <w:tcPr>
            <w:tcW w:w="2405"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"CCS"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27B63">
        <w:tc>
          <w:tcPr>
            <w:tcW w:w="2405"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A27B63" w:rsidRDefault="00FC6FEB">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A27B63" w:rsidRDefault="00FC6FEB">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A27B63" w:rsidRDefault="00FC6FEB">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lastRenderedPageBreak/>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27B63">
        <w:tc>
          <w:tcPr>
            <w:tcW w:w="2405"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A27B63" w:rsidRDefault="00FC6FEB">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A27B63" w:rsidRDefault="00FC6FEB">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A27B63" w:rsidRDefault="00FC6FEB">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rsidR="00A27B63" w:rsidRDefault="00FC6FEB">
            <w:pPr>
              <w:numPr>
                <w:ilvl w:val="1"/>
                <w:numId w:val="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A27B63" w:rsidRDefault="00FC6FEB">
            <w:pPr>
              <w:numPr>
                <w:ilvl w:val="1"/>
                <w:numId w:val="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A27B63" w:rsidRDefault="00FC6FEB">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A27B63" w:rsidRDefault="00FC6FEB">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A27B63" w:rsidRDefault="00FC6FEB">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rsidR="00C16431" w:rsidRDefault="00C16431" w:rsidP="00C16431">
            <w:pPr>
              <w:pStyle w:val="ListParagraph"/>
              <w:numPr>
                <w:ilvl w:val="2"/>
                <w:numId w:val="8"/>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C16431">
              <w:rPr>
                <w:rFonts w:ascii="Arial" w:eastAsia="Arial" w:hAnsi="Arial" w:cs="Arial"/>
                <w:color w:val="000000"/>
                <w:sz w:val="24"/>
                <w:szCs w:val="24"/>
              </w:rPr>
              <w:t>the UK GDPR as amended from time to time;</w:t>
            </w:r>
          </w:p>
          <w:p w:rsidR="00C16431" w:rsidRDefault="00C16431" w:rsidP="00C16431">
            <w:pPr>
              <w:pStyle w:val="ListParagraph"/>
              <w:numPr>
                <w:ilvl w:val="2"/>
                <w:numId w:val="8"/>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C16431">
              <w:rPr>
                <w:rFonts w:ascii="Arial" w:eastAsia="Arial" w:hAnsi="Arial" w:cs="Arial"/>
                <w:color w:val="000000"/>
                <w:sz w:val="24"/>
                <w:szCs w:val="24"/>
              </w:rPr>
              <w:t xml:space="preserve">the DPA 2018 to the extent that it relates to Processing of Personal Data and privacy; </w:t>
            </w:r>
          </w:p>
          <w:p w:rsidR="00A27B63" w:rsidRPr="00C16431" w:rsidRDefault="00C16431" w:rsidP="00C16431">
            <w:pPr>
              <w:pStyle w:val="ListParagraph"/>
              <w:numPr>
                <w:ilvl w:val="2"/>
                <w:numId w:val="8"/>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C16431">
              <w:rPr>
                <w:rFonts w:ascii="Arial" w:eastAsia="Arial" w:hAnsi="Arial" w:cs="Arial"/>
                <w:color w:val="000000"/>
                <w:sz w:val="24"/>
                <w:szCs w:val="24"/>
              </w:rPr>
              <w:t>all applicable Law about the Processing of Personal Data and privacy;</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Subject Access Request"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27B63">
        <w:tc>
          <w:tcPr>
            <w:tcW w:w="2405"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A27B63" w:rsidRDefault="00FC6FEB">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w:t>
            </w:r>
            <w:r>
              <w:rPr>
                <w:rFonts w:ascii="Arial" w:eastAsia="Arial" w:hAnsi="Arial" w:cs="Arial"/>
                <w:color w:val="000000"/>
                <w:sz w:val="24"/>
                <w:szCs w:val="24"/>
              </w:rPr>
              <w:lastRenderedPageBreak/>
              <w:t>develop, configure, build, deploy, run, maintain, upgrade and test the individual systems that provide the Deliverables</w:t>
            </w:r>
          </w:p>
          <w:p w:rsidR="00A27B63" w:rsidRDefault="00FC6FEB">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A27B63" w:rsidRDefault="00FC6FEB">
            <w:pPr>
              <w:numPr>
                <w:ilvl w:val="0"/>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7342" w:type="dxa"/>
          </w:tcPr>
          <w:p w:rsidR="00A27B63" w:rsidRDefault="00FC6FEB">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the Disclosure of Tax Avoidance Schemes rules which require a promoter of </w:t>
            </w:r>
            <w:r>
              <w:rPr>
                <w:rFonts w:ascii="Arial" w:eastAsia="Arial" w:hAnsi="Arial" w:cs="Arial"/>
                <w:sz w:val="24"/>
                <w:szCs w:val="24"/>
              </w:rPr>
              <w:t>T</w:t>
            </w:r>
            <w:r>
              <w:rPr>
                <w:rFonts w:ascii="Arial" w:eastAsia="Arial" w:hAnsi="Arial" w:cs="Arial"/>
                <w:color w:val="000000"/>
                <w:sz w:val="24"/>
                <w:szCs w:val="24"/>
              </w:rPr>
              <w: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rsidR="00A27B63" w:rsidRDefault="00FC6FEB">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A27B63" w:rsidRDefault="00FC6FEB">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A27B63" w:rsidRDefault="00FC6FEB">
            <w:pPr>
              <w:numPr>
                <w:ilvl w:val="0"/>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27B63">
        <w:tc>
          <w:tcPr>
            <w:tcW w:w="2405"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rsidR="00A27B63" w:rsidRDefault="00FC6FEB">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p w:rsidR="00A27B63" w:rsidRDefault="00A27B63">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A27B6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rsidR="00A27B63" w:rsidRDefault="00FC6FEB">
            <w:pPr>
              <w:pBdr>
                <w:top w:val="nil"/>
                <w:left w:val="nil"/>
                <w:bottom w:val="nil"/>
                <w:right w:val="nil"/>
                <w:between w:val="nil"/>
              </w:pBdr>
              <w:tabs>
                <w:tab w:val="left" w:pos="-179"/>
              </w:tabs>
              <w:spacing w:after="120"/>
              <w:jc w:val="both"/>
              <w:rPr>
                <w:rFonts w:ascii="Arial" w:eastAsia="Arial" w:hAnsi="Arial" w:cs="Arial"/>
                <w:color w:val="000000"/>
                <w:sz w:val="24"/>
                <w:szCs w:val="24"/>
              </w:rPr>
            </w:pPr>
            <w:proofErr w:type="spellStart"/>
            <w:r>
              <w:rPr>
                <w:rFonts w:ascii="Arial" w:eastAsia="Arial" w:hAnsi="Arial" w:cs="Arial"/>
                <w:color w:val="000000"/>
                <w:sz w:val="24"/>
                <w:szCs w:val="24"/>
              </w:rPr>
              <w:lastRenderedPageBreak/>
              <w:t>i</w:t>
            </w:r>
            <w:proofErr w:type="spellEnd"/>
            <w:r>
              <w:rPr>
                <w:rFonts w:ascii="Arial" w:eastAsia="Arial" w:hAnsi="Arial" w:cs="Arial"/>
                <w:color w:val="000000"/>
                <w:sz w:val="24"/>
                <w:szCs w:val="24"/>
              </w:rPr>
              <w:t xml:space="preserve">)  in the first Contract Year, the Estimated Year 1 Charges; or </w:t>
            </w:r>
          </w:p>
          <w:p w:rsidR="00A27B63" w:rsidRDefault="00A27B63">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A27B63" w:rsidRDefault="00FC6FEB">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ii) in any subsequent Contract Years, the Charges paid or payable in the previous Call-off Contract Year; or</w:t>
            </w:r>
          </w:p>
          <w:p w:rsidR="00A27B63" w:rsidRDefault="00A27B63">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A27B63" w:rsidRDefault="00FC6FEB">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A27B6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Buyer</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A27B63" w:rsidRDefault="00FC6FEB">
            <w:pPr>
              <w:numPr>
                <w:ilvl w:val="0"/>
                <w:numId w:val="20"/>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A27B63" w:rsidRDefault="00FC6FEB">
            <w:pPr>
              <w:numPr>
                <w:ilvl w:val="0"/>
                <w:numId w:val="20"/>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rsidR="00A27B63" w:rsidRDefault="00FC6FEB">
            <w:pPr>
              <w:numPr>
                <w:ilvl w:val="1"/>
                <w:numId w:val="20"/>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A27B6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p w:rsidR="00A27B63" w:rsidRDefault="00A27B63">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A27B6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Procurement Amendments</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A27B63" w:rsidRDefault="00FC6FEB">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rsidR="00A27B63" w:rsidRDefault="00A27B63">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bl>
    <w:p w:rsidR="00A27B63" w:rsidRDefault="00A27B63">
      <w:pPr>
        <w:widowControl w:val="0"/>
        <w:pBdr>
          <w:top w:val="nil"/>
          <w:left w:val="nil"/>
          <w:bottom w:val="nil"/>
          <w:right w:val="nil"/>
          <w:between w:val="nil"/>
        </w:pBdr>
        <w:spacing w:after="0"/>
        <w:rPr>
          <w:rFonts w:ascii="Arial" w:eastAsia="Arial" w:hAnsi="Arial" w:cs="Arial"/>
          <w:color w:val="000000"/>
          <w:sz w:val="24"/>
          <w:szCs w:val="24"/>
        </w:rPr>
      </w:pPr>
    </w:p>
    <w:tbl>
      <w:tblPr>
        <w:tblStyle w:val="a7"/>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90"/>
      </w:tblGrid>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90" w:type="dxa"/>
          </w:tcPr>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"Extension Period"</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302EB5">
        <w:tc>
          <w:tcPr>
            <w:tcW w:w="2400" w:type="dxa"/>
          </w:tcPr>
          <w:p w:rsidR="00302EB5" w:rsidRDefault="00302EB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7590" w:type="dxa"/>
          </w:tcPr>
          <w:p w:rsidR="00302EB5" w:rsidRPr="00302EB5" w:rsidRDefault="00302EB5">
            <w:pPr>
              <w:pBdr>
                <w:top w:val="nil"/>
                <w:left w:val="nil"/>
                <w:bottom w:val="nil"/>
                <w:right w:val="nil"/>
                <w:between w:val="nil"/>
              </w:pBdr>
              <w:tabs>
                <w:tab w:val="left" w:pos="-179"/>
                <w:tab w:val="left" w:pos="-9"/>
              </w:tabs>
              <w:spacing w:after="120"/>
              <w:jc w:val="both"/>
              <w:rPr>
                <w:rFonts w:ascii="Arial" w:hAnsi="Arial" w:cs="Arial"/>
                <w:color w:val="000000"/>
                <w:sz w:val="24"/>
                <w:szCs w:val="24"/>
                <w:shd w:val="clear" w:color="auto" w:fill="FFFFFF"/>
              </w:rPr>
            </w:pPr>
            <w:r w:rsidRPr="00302EB5">
              <w:rPr>
                <w:rFonts w:ascii="Arial" w:hAnsi="Arial" w:cs="Arial"/>
                <w:color w:val="000000"/>
                <w:sz w:val="24"/>
                <w:szCs w:val="24"/>
                <w:shd w:val="clear" w:color="auto" w:fill="FFFFFF"/>
              </w:rPr>
              <w:t xml:space="preserve">means: </w:t>
            </w:r>
          </w:p>
          <w:p w:rsidR="00302EB5" w:rsidRPr="00302EB5" w:rsidRDefault="00302EB5">
            <w:pPr>
              <w:pBdr>
                <w:top w:val="nil"/>
                <w:left w:val="nil"/>
                <w:bottom w:val="nil"/>
                <w:right w:val="nil"/>
                <w:between w:val="nil"/>
              </w:pBdr>
              <w:tabs>
                <w:tab w:val="left" w:pos="-179"/>
                <w:tab w:val="left" w:pos="-9"/>
              </w:tabs>
              <w:spacing w:after="120"/>
              <w:jc w:val="both"/>
              <w:rPr>
                <w:rFonts w:ascii="Arial" w:hAnsi="Arial" w:cs="Arial"/>
                <w:color w:val="000000"/>
                <w:sz w:val="24"/>
                <w:szCs w:val="24"/>
                <w:shd w:val="clear" w:color="auto" w:fill="FFFFFF"/>
              </w:rPr>
            </w:pPr>
            <w:r w:rsidRPr="00302EB5">
              <w:rPr>
                <w:rFonts w:ascii="Arial" w:hAnsi="Arial" w:cs="Arial"/>
                <w:color w:val="000000"/>
                <w:sz w:val="24"/>
                <w:szCs w:val="24"/>
                <w:shd w:val="clear" w:color="auto" w:fill="FFFFFF"/>
              </w:rPr>
              <w:t xml:space="preserve">(a) the Buyer having a clear analysis of the Costs, Overhead recoveries (where relevant), time spent by Supplier Staff in providing the Services and the Supplier Profit Margin so that it can understand any payment sought by the Supplier; </w:t>
            </w:r>
          </w:p>
          <w:p w:rsidR="00302EB5" w:rsidRPr="00302EB5" w:rsidRDefault="00302EB5">
            <w:pPr>
              <w:pBdr>
                <w:top w:val="nil"/>
                <w:left w:val="nil"/>
                <w:bottom w:val="nil"/>
                <w:right w:val="nil"/>
                <w:between w:val="nil"/>
              </w:pBdr>
              <w:tabs>
                <w:tab w:val="left" w:pos="-179"/>
                <w:tab w:val="left" w:pos="-9"/>
              </w:tabs>
              <w:spacing w:after="120"/>
              <w:jc w:val="both"/>
              <w:rPr>
                <w:rFonts w:ascii="Arial" w:hAnsi="Arial" w:cs="Arial"/>
                <w:color w:val="000000"/>
                <w:sz w:val="24"/>
                <w:szCs w:val="24"/>
                <w:shd w:val="clear" w:color="auto" w:fill="FFFFFF"/>
              </w:rPr>
            </w:pPr>
            <w:r w:rsidRPr="00302EB5">
              <w:rPr>
                <w:rFonts w:ascii="Arial" w:hAnsi="Arial" w:cs="Arial"/>
                <w:color w:val="000000"/>
                <w:sz w:val="24"/>
                <w:szCs w:val="24"/>
                <w:shd w:val="clear" w:color="auto" w:fill="FFFFFF"/>
              </w:rPr>
              <w:t>(b) the Parties being able to understand Cost forecasts and to have confidence that these are based on justifiable numbers and appropriate forecasting techniques;</w:t>
            </w:r>
          </w:p>
          <w:p w:rsidR="00302EB5" w:rsidRPr="00302EB5" w:rsidRDefault="00302EB5">
            <w:pPr>
              <w:pBdr>
                <w:top w:val="nil"/>
                <w:left w:val="nil"/>
                <w:bottom w:val="nil"/>
                <w:right w:val="nil"/>
                <w:between w:val="nil"/>
              </w:pBdr>
              <w:tabs>
                <w:tab w:val="left" w:pos="-179"/>
                <w:tab w:val="left" w:pos="-9"/>
              </w:tabs>
              <w:spacing w:after="120"/>
              <w:jc w:val="both"/>
              <w:rPr>
                <w:rFonts w:ascii="Arial" w:hAnsi="Arial" w:cs="Arial"/>
                <w:color w:val="000000"/>
                <w:sz w:val="24"/>
                <w:szCs w:val="24"/>
                <w:shd w:val="clear" w:color="auto" w:fill="FFFFFF"/>
              </w:rPr>
            </w:pPr>
            <w:r w:rsidRPr="00302EB5">
              <w:rPr>
                <w:rFonts w:ascii="Arial" w:hAnsi="Arial" w:cs="Arial"/>
                <w:color w:val="000000"/>
                <w:sz w:val="24"/>
                <w:szCs w:val="24"/>
                <w:shd w:val="clear" w:color="auto" w:fill="FFFFFF"/>
              </w:rPr>
              <w:t xml:space="preserve">(c) the Parties being able to understand the quantitative impact of any Variations that affect ongoing Costs and identifying how these could be mitigated and/or reflected in the Charges; </w:t>
            </w:r>
          </w:p>
          <w:p w:rsidR="00302EB5" w:rsidRPr="00302EB5" w:rsidRDefault="00302EB5">
            <w:pPr>
              <w:pBdr>
                <w:top w:val="nil"/>
                <w:left w:val="nil"/>
                <w:bottom w:val="nil"/>
                <w:right w:val="nil"/>
                <w:between w:val="nil"/>
              </w:pBdr>
              <w:tabs>
                <w:tab w:val="left" w:pos="-179"/>
                <w:tab w:val="left" w:pos="-9"/>
              </w:tabs>
              <w:spacing w:after="120"/>
              <w:jc w:val="both"/>
              <w:rPr>
                <w:rFonts w:ascii="Arial" w:hAnsi="Arial" w:cs="Arial"/>
                <w:color w:val="000000"/>
                <w:sz w:val="24"/>
                <w:szCs w:val="24"/>
                <w:shd w:val="clear" w:color="auto" w:fill="FFFFFF"/>
              </w:rPr>
            </w:pPr>
            <w:r w:rsidRPr="00302EB5">
              <w:rPr>
                <w:rFonts w:ascii="Arial" w:hAnsi="Arial" w:cs="Arial"/>
                <w:color w:val="000000"/>
                <w:sz w:val="24"/>
                <w:szCs w:val="24"/>
                <w:shd w:val="clear" w:color="auto" w:fill="FFFFFF"/>
              </w:rPr>
              <w:t>(d) the Parties being able to review, address issues with and re</w:t>
            </w:r>
            <w:r w:rsidRPr="00302EB5">
              <w:rPr>
                <w:rFonts w:ascii="Arial" w:hAnsi="Arial" w:cs="Arial"/>
                <w:color w:val="000000"/>
                <w:sz w:val="24"/>
                <w:szCs w:val="24"/>
                <w:shd w:val="clear" w:color="auto" w:fill="FFFFFF"/>
              </w:rPr>
              <w:noBreakHyphen/>
              <w:t xml:space="preserve">forecast progress in relation to the provision of the Services; </w:t>
            </w:r>
          </w:p>
          <w:p w:rsidR="00302EB5" w:rsidRDefault="00302EB5">
            <w:pPr>
              <w:pBdr>
                <w:top w:val="nil"/>
                <w:left w:val="nil"/>
                <w:bottom w:val="nil"/>
                <w:right w:val="nil"/>
                <w:between w:val="nil"/>
              </w:pBdr>
              <w:tabs>
                <w:tab w:val="left" w:pos="-179"/>
                <w:tab w:val="left" w:pos="-9"/>
              </w:tabs>
              <w:spacing w:after="120"/>
              <w:jc w:val="both"/>
              <w:rPr>
                <w:rFonts w:ascii="Arial" w:hAnsi="Arial" w:cs="Arial"/>
                <w:color w:val="000000"/>
                <w:sz w:val="24"/>
                <w:szCs w:val="24"/>
                <w:shd w:val="clear" w:color="auto" w:fill="FFFFFF"/>
              </w:rPr>
            </w:pPr>
            <w:r w:rsidRPr="00302EB5">
              <w:rPr>
                <w:rFonts w:ascii="Arial" w:hAnsi="Arial" w:cs="Arial"/>
                <w:color w:val="000000"/>
                <w:sz w:val="24"/>
                <w:szCs w:val="24"/>
                <w:shd w:val="clear" w:color="auto" w:fill="FFFFFF"/>
              </w:rPr>
              <w:t xml:space="preserve">(e) the Parties challenging each other with ideas for efficiency and improvements; and </w:t>
            </w:r>
          </w:p>
          <w:p w:rsidR="00302EB5" w:rsidRDefault="00302EB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4" w:name="_GoBack"/>
            <w:bookmarkEnd w:id="4"/>
            <w:r w:rsidRPr="00302EB5">
              <w:rPr>
                <w:rFonts w:ascii="Arial" w:hAnsi="Arial" w:cs="Arial"/>
                <w:color w:val="000000"/>
                <w:sz w:val="24"/>
                <w:szCs w:val="24"/>
                <w:shd w:val="clear" w:color="auto" w:fill="FFFFFF"/>
              </w:rPr>
              <w:t>(f) enabling the Buyer to demonstrate that it is achieving value for money for the tax payer relative to current market prices;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event, </w:t>
            </w:r>
            <w:r>
              <w:rPr>
                <w:rFonts w:ascii="Arial" w:eastAsia="Arial" w:hAnsi="Arial" w:cs="Arial"/>
                <w:sz w:val="24"/>
                <w:szCs w:val="24"/>
              </w:rPr>
              <w:t xml:space="preserve">outside the reasonable control of each Party, </w:t>
            </w:r>
            <w:r>
              <w:rPr>
                <w:rFonts w:ascii="Arial" w:eastAsia="Arial" w:hAnsi="Arial" w:cs="Arial"/>
                <w:color w:val="000000"/>
                <w:sz w:val="24"/>
                <w:szCs w:val="24"/>
              </w:rPr>
              <w:t>affecting its</w:t>
            </w:r>
            <w:r>
              <w:rPr>
                <w:rFonts w:ascii="Arial" w:eastAsia="Arial" w:hAnsi="Arial" w:cs="Arial"/>
                <w:sz w:val="24"/>
                <w:szCs w:val="24"/>
              </w:rPr>
              <w:t xml:space="preserve"> </w:t>
            </w:r>
            <w:r>
              <w:rPr>
                <w:rFonts w:ascii="Arial" w:eastAsia="Arial" w:hAnsi="Arial" w:cs="Arial"/>
                <w:color w:val="000000"/>
                <w:sz w:val="24"/>
                <w:szCs w:val="24"/>
              </w:rPr>
              <w:t xml:space="preserve">performance of its obligations under the Contract arising from acts, events, omissions, happenings or non-happenings beyond </w:t>
            </w:r>
            <w:r>
              <w:rPr>
                <w:rFonts w:ascii="Arial" w:eastAsia="Arial" w:hAnsi="Arial" w:cs="Arial"/>
                <w:sz w:val="24"/>
                <w:szCs w:val="24"/>
              </w:rPr>
              <w:t>reasonable control</w:t>
            </w:r>
            <w:r>
              <w:rPr>
                <w:rFonts w:ascii="Arial" w:eastAsia="Arial" w:hAnsi="Arial" w:cs="Arial"/>
                <w:color w:val="000000"/>
                <w:sz w:val="24"/>
                <w:szCs w:val="24"/>
              </w:rPr>
              <w:t xml:space="preserve"> and which are not attributable to any wilful act, neglect or failure to take reasonable preventative action by </w:t>
            </w:r>
            <w:r>
              <w:rPr>
                <w:rFonts w:ascii="Arial" w:eastAsia="Arial" w:hAnsi="Arial" w:cs="Arial"/>
                <w:sz w:val="24"/>
                <w:szCs w:val="24"/>
              </w:rPr>
              <w:t xml:space="preserve">that </w:t>
            </w:r>
            <w:r>
              <w:rPr>
                <w:rFonts w:ascii="Arial" w:eastAsia="Arial" w:hAnsi="Arial" w:cs="Arial"/>
                <w:color w:val="000000"/>
                <w:sz w:val="24"/>
                <w:szCs w:val="24"/>
              </w:rPr>
              <w:t>Party, including:</w:t>
            </w:r>
          </w:p>
          <w:p w:rsidR="00A27B63" w:rsidRDefault="00FC6FEB">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A27B63" w:rsidRDefault="00FC6FEB">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A27B63" w:rsidRDefault="00FC6FEB">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acts of a </w:t>
            </w:r>
            <w:r>
              <w:rPr>
                <w:rFonts w:ascii="Arial" w:eastAsia="Arial" w:hAnsi="Arial" w:cs="Arial"/>
                <w:sz w:val="24"/>
                <w:szCs w:val="24"/>
              </w:rPr>
              <w:t>government</w:t>
            </w:r>
            <w:r>
              <w:rPr>
                <w:rFonts w:ascii="Arial" w:eastAsia="Arial" w:hAnsi="Arial" w:cs="Arial"/>
                <w:color w:val="000000"/>
                <w:sz w:val="24"/>
                <w:szCs w:val="24"/>
              </w:rPr>
              <w:t>, local government or regulatory bodies;</w:t>
            </w:r>
          </w:p>
          <w:p w:rsidR="00A27B63" w:rsidRDefault="00FC6FEB">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w:t>
            </w:r>
            <w:r>
              <w:rPr>
                <w:rFonts w:ascii="Arial" w:eastAsia="Arial" w:hAnsi="Arial" w:cs="Arial"/>
                <w:color w:val="000000"/>
                <w:sz w:val="24"/>
                <w:szCs w:val="24"/>
              </w:rPr>
              <w:lastRenderedPageBreak/>
              <w:t xml:space="preserve">provision of the Deliverables to Buyers by the Supplier pursuant to the </w:t>
            </w:r>
            <w:r>
              <w:rPr>
                <w:rFonts w:ascii="Arial" w:eastAsia="Arial" w:hAnsi="Arial" w:cs="Arial"/>
                <w:sz w:val="24"/>
                <w:szCs w:val="24"/>
              </w:rPr>
              <w:t>notice published on the Find a Tender Service</w:t>
            </w:r>
            <w:r>
              <w:rPr>
                <w:rFonts w:ascii="Arial" w:eastAsia="Arial" w:hAnsi="Arial" w:cs="Arial"/>
                <w:color w:val="000000"/>
                <w:sz w:val="24"/>
                <w:szCs w:val="24"/>
              </w:rPr>
              <w: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the retained EU law version of</w:t>
            </w:r>
            <w:r>
              <w:rPr>
                <w:sz w:val="24"/>
                <w:szCs w:val="24"/>
              </w:rPr>
              <w:t xml:space="preserve"> </w:t>
            </w:r>
            <w:r>
              <w:rPr>
                <w:rFonts w:ascii="Arial" w:eastAsia="Arial" w:hAnsi="Arial" w:cs="Arial"/>
                <w:color w:val="000000"/>
                <w:sz w:val="24"/>
                <w:szCs w:val="24"/>
              </w:rPr>
              <w:t>the General Data Protection Regulation (Regulation (EU) 2016/679);</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90" w:type="dxa"/>
          </w:tcPr>
          <w:p w:rsidR="00A27B63" w:rsidRDefault="00FC6FEB">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A27B63" w:rsidRDefault="00FC6FEB">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w:t>
            </w:r>
            <w:r>
              <w:rPr>
                <w:rFonts w:ascii="Arial" w:eastAsia="Arial" w:hAnsi="Arial" w:cs="Arial"/>
                <w:sz w:val="24"/>
                <w:szCs w:val="24"/>
              </w:rPr>
              <w:t xml:space="preserve"> Tax</w:t>
            </w:r>
            <w:r>
              <w:rPr>
                <w:rFonts w:ascii="Arial" w:eastAsia="Arial" w:hAnsi="Arial" w:cs="Arial"/>
                <w:color w:val="000000"/>
                <w:sz w:val="24"/>
                <w:szCs w:val="24"/>
              </w:rPr>
              <w:t xml:space="preserve"> advantages arising from abusive arrangements to avoid National Insurance contributions;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Change in Law where the change is of a general legislative nature (including </w:t>
            </w:r>
            <w:r>
              <w:rPr>
                <w:rFonts w:ascii="Arial" w:eastAsia="Arial" w:hAnsi="Arial" w:cs="Arial"/>
                <w:sz w:val="24"/>
                <w:szCs w:val="24"/>
              </w:rPr>
              <w:t>T</w:t>
            </w:r>
            <w:r>
              <w:rPr>
                <w:rFonts w:ascii="Arial" w:eastAsia="Arial" w:hAnsi="Arial" w:cs="Arial"/>
                <w:color w:val="000000"/>
                <w:sz w:val="24"/>
                <w:szCs w:val="24"/>
              </w:rPr>
              <w:t>ax or duties of any sort affecting the Supplier) or which affects or relates to a Comparable Supply;</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"Government Data"</w:t>
            </w:r>
          </w:p>
        </w:tc>
        <w:tc>
          <w:tcPr>
            <w:tcW w:w="7590" w:type="dxa"/>
          </w:tcPr>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A27B63" w:rsidRDefault="00FC6FEB">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A27B63" w:rsidRDefault="00FC6FEB">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A27B63" w:rsidRDefault="00FC6FEB">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A27B63" w:rsidRDefault="00FC6FEB">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A27B63" w:rsidRDefault="00FC6FEB">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A27B63" w:rsidRDefault="00FC6FEB">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A27B63" w:rsidRDefault="00FC6FEB">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Pr>
                <w:rFonts w:ascii="Arial" w:eastAsia="Arial" w:hAnsi="Arial" w:cs="Arial"/>
                <w:sz w:val="24"/>
                <w:szCs w:val="24"/>
              </w:rPr>
              <w:t>the Consumer Price Index (CPI)</w:t>
            </w:r>
            <w:r>
              <w:rPr>
                <w:rFonts w:ascii="Arial" w:eastAsia="Arial" w:hAnsi="Arial" w:cs="Arial"/>
                <w:color w:val="000000"/>
                <w:sz w:val="24"/>
                <w:szCs w:val="24"/>
              </w:rPr>
              <w: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"Information"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(iii) (being a company or a LLP) the holder of a qualifying floating charge over the assets of that person has become entitled to appoint or has appointed an administrative receiver; or</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90" w:type="dxa"/>
          </w:tcPr>
          <w:p w:rsidR="00A27B63" w:rsidRDefault="00FC6FEB">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A27B63" w:rsidRDefault="00FC6FEB">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A27B63" w:rsidRDefault="00FC6FEB">
            <w:pPr>
              <w:numPr>
                <w:ilvl w:val="0"/>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27B63">
        <w:trPr>
          <w:trHeight w:val="357"/>
        </w:trPr>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27B63">
        <w:trPr>
          <w:trHeight w:val="426"/>
        </w:trPr>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rsidR="00A27B63" w:rsidRDefault="00FC6FEB">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A27B63" w:rsidRDefault="00FC6FEB">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rsidR="00A27B63" w:rsidRDefault="00FC6FEB">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A27B63" w:rsidRDefault="00FC6FEB">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90" w:type="dxa"/>
          </w:tcPr>
          <w:p w:rsidR="00A27B63" w:rsidRDefault="00FC6FEB">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90" w:type="dxa"/>
          </w:tcPr>
          <w:p w:rsidR="00A27B63" w:rsidRDefault="00FC6FEB">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90" w:type="dxa"/>
          </w:tcPr>
          <w:p w:rsidR="00A27B63" w:rsidRDefault="00FC6FEB">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A27B63" w:rsidRDefault="00FC6FEB">
            <w:pPr>
              <w:numPr>
                <w:ilvl w:val="0"/>
                <w:numId w:val="1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A27B63" w:rsidRDefault="00FC6FEB">
            <w:pPr>
              <w:numPr>
                <w:ilvl w:val="0"/>
                <w:numId w:val="1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rsidR="00A27B63" w:rsidRDefault="00FC6FEB">
            <w:pPr>
              <w:numPr>
                <w:ilvl w:val="0"/>
                <w:numId w:val="1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90" w:type="dxa"/>
          </w:tcPr>
          <w:p w:rsidR="00A27B63" w:rsidRDefault="00FC6FEB">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590" w:type="dxa"/>
          </w:tcPr>
          <w:p w:rsidR="00A27B63" w:rsidRDefault="00FC6FEB">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90" w:type="dxa"/>
          </w:tcPr>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A27B63" w:rsidRDefault="00FC6FEB">
            <w:pPr>
              <w:numPr>
                <w:ilvl w:val="0"/>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sz w:val="24"/>
                <w:szCs w:val="24"/>
              </w:rPr>
              <w:t>T</w:t>
            </w:r>
            <w:r>
              <w:rPr>
                <w:rFonts w:ascii="Arial" w:eastAsia="Arial" w:hAnsi="Arial" w:cs="Arial"/>
                <w:color w:val="000000"/>
                <w:sz w:val="24"/>
                <w:szCs w:val="24"/>
              </w:rPr>
              <w:t>ax return of the Supplier submitted to a Relevant Tax Authority on or after 1 October 2012 is found on or after 1 April 2013 to be incorrect as a result of:</w:t>
            </w:r>
          </w:p>
          <w:p w:rsidR="00A27B63" w:rsidRDefault="00FC6FEB">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 xml:space="preserve">a Relevant Tax Authority successfully challenging the Supplier under the General Anti-Abuse Rule or the Halifax Abuse Principle or under any </w:t>
            </w:r>
            <w:r>
              <w:rPr>
                <w:rFonts w:ascii="Arial" w:eastAsia="Arial" w:hAnsi="Arial" w:cs="Arial"/>
                <w:sz w:val="24"/>
                <w:szCs w:val="24"/>
              </w:rPr>
              <w:t>T</w:t>
            </w:r>
            <w:r>
              <w:rPr>
                <w:rFonts w:ascii="Arial" w:eastAsia="Arial" w:hAnsi="Arial" w:cs="Arial"/>
                <w:color w:val="000000"/>
                <w:sz w:val="24"/>
                <w:szCs w:val="24"/>
              </w:rPr>
              <w:t>ax rules or legislation in any jurisdiction that have an effect equivalent or similar to the General Anti-Abuse Rule or the Halifax Abuse Principle;</w:t>
            </w:r>
          </w:p>
          <w:p w:rsidR="00A27B63" w:rsidRDefault="00FC6FEB">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A27B63" w:rsidRDefault="00FC6FEB">
            <w:pPr>
              <w:numPr>
                <w:ilvl w:val="0"/>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sz w:val="24"/>
                <w:szCs w:val="24"/>
              </w:rPr>
              <w:t>T</w:t>
            </w:r>
            <w:r>
              <w:rPr>
                <w:rFonts w:ascii="Arial" w:eastAsia="Arial" w:hAnsi="Arial" w:cs="Arial"/>
                <w:color w:val="000000"/>
                <w:sz w:val="24"/>
                <w:szCs w:val="24"/>
              </w:rPr>
              <w:t xml:space="preserve">ax return of the Supplier submitted to a Relevant Tax Authority on or after 1 October 2012 which gives rise, on or after 1 April 2013, to a criminal conviction in any jurisdiction for </w:t>
            </w:r>
            <w:r>
              <w:rPr>
                <w:rFonts w:ascii="Arial" w:eastAsia="Arial" w:hAnsi="Arial" w:cs="Arial"/>
                <w:sz w:val="24"/>
                <w:szCs w:val="24"/>
              </w:rPr>
              <w:t>T</w:t>
            </w:r>
            <w:r>
              <w:rPr>
                <w:rFonts w:ascii="Arial" w:eastAsia="Arial" w:hAnsi="Arial" w:cs="Arial"/>
                <w:color w:val="000000"/>
                <w:sz w:val="24"/>
                <w:szCs w:val="24"/>
              </w:rPr>
              <w:t>ax related offences which is not spent at the Start Date or to a civil penalty for fraud or evasion;</w:t>
            </w:r>
          </w:p>
        </w:tc>
      </w:tr>
      <w:tr w:rsidR="00A27B63">
        <w:trPr>
          <w:trHeight w:val="5726"/>
        </w:trPr>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A27B63" w:rsidRDefault="00FC6FEB">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A27B63" w:rsidRDefault="00FC6FEB">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A27B63" w:rsidRDefault="00FC6FEB">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A27B63" w:rsidRDefault="00FC6FEB">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A27B63" w:rsidRDefault="00FC6FEB">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A27B63" w:rsidRDefault="00FC6FEB">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A27B63" w:rsidRDefault="00FC6FEB">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 xml:space="preserve">Overheads; </w:t>
            </w:r>
          </w:p>
          <w:p w:rsidR="00A27B63" w:rsidRDefault="00FC6FEB">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A27B63" w:rsidRDefault="00FC6FEB">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the Supplier Profit achieved over the Framework Contract Period and on an annual basis;</w:t>
            </w:r>
          </w:p>
          <w:p w:rsidR="00A27B63" w:rsidRDefault="00FC6FEB">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rsidR="00A27B63" w:rsidRDefault="00FC6FEB">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rsidR="00A27B63" w:rsidRDefault="00FC6FEB">
            <w:pPr>
              <w:numPr>
                <w:ilvl w:val="0"/>
                <w:numId w:val="2"/>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the actual Costs profile for each Service Period;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sz w:val="24"/>
                <w:szCs w:val="24"/>
              </w:rPr>
              <w: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90" w:type="dxa"/>
          </w:tcPr>
          <w:p w:rsidR="00A27B63" w:rsidRDefault="00FC6FEB">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A27B63" w:rsidRDefault="00FC6FEB">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A27B63" w:rsidRDefault="00FC6FEB">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w:t>
            </w:r>
            <w:r>
              <w:rPr>
                <w:rFonts w:ascii="Arial" w:eastAsia="Arial" w:hAnsi="Arial" w:cs="Arial"/>
                <w:sz w:val="24"/>
                <w:szCs w:val="24"/>
              </w:rPr>
              <w:t xml:space="preserve">relevant function or activity; </w:t>
            </w:r>
          </w:p>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c) committing any offence:</w:t>
            </w:r>
            <w:r>
              <w:rPr>
                <w:rFonts w:ascii="Arial" w:eastAsia="Arial" w:hAnsi="Arial" w:cs="Arial"/>
                <w:sz w:val="24"/>
                <w:szCs w:val="24"/>
              </w:rPr>
              <w:tab/>
            </w:r>
          </w:p>
          <w:p w:rsidR="00A27B63" w:rsidRDefault="00FC6FEB">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A27B63" w:rsidRDefault="00FC6FEB">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A27B63" w:rsidRDefault="00FC6FEB">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A27B63" w:rsidRDefault="00FC6FE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90" w:type="dxa"/>
          </w:tcPr>
          <w:p w:rsidR="00A27B63" w:rsidRDefault="00FC6FEB">
            <w:pPr>
              <w:numPr>
                <w:ilvl w:val="0"/>
                <w:numId w:val="22"/>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A27B63" w:rsidRDefault="00FC6FEB">
            <w:pPr>
              <w:numPr>
                <w:ilvl w:val="0"/>
                <w:numId w:val="22"/>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A27B63" w:rsidRDefault="00FC6FEB">
            <w:pPr>
              <w:numPr>
                <w:ilvl w:val="0"/>
                <w:numId w:val="22"/>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A27B63" w:rsidRDefault="00FC6FEB">
            <w:pPr>
              <w:numPr>
                <w:ilvl w:val="0"/>
                <w:numId w:val="2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"Reimbursable Expenses"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A27B63" w:rsidRDefault="00FC6FEB">
            <w:pPr>
              <w:numPr>
                <w:ilvl w:val="0"/>
                <w:numId w:val="3"/>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A27B63" w:rsidRDefault="00FC6FEB">
            <w:pPr>
              <w:numPr>
                <w:ilvl w:val="0"/>
                <w:numId w:val="3"/>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90" w:type="dxa"/>
          </w:tcPr>
          <w:p w:rsidR="00A27B63" w:rsidRDefault="00FC6FEB">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A27B63" w:rsidRDefault="00FC6FEB">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90" w:type="dxa"/>
          </w:tcPr>
          <w:p w:rsidR="00A27B63" w:rsidRDefault="00FC6FEB">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90" w:type="dxa"/>
          </w:tcPr>
          <w:p w:rsidR="00A27B63" w:rsidRDefault="00FC6FEB">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"Request For Information"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A27B63" w:rsidRDefault="00FC6FEB">
            <w:pPr>
              <w:numPr>
                <w:ilvl w:val="0"/>
                <w:numId w:val="1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A27B63" w:rsidRDefault="00FC6FEB">
            <w:pPr>
              <w:numPr>
                <w:ilvl w:val="0"/>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rsidR="00A27B63" w:rsidRDefault="00FC6FEB">
            <w:pPr>
              <w:numPr>
                <w:ilvl w:val="0"/>
                <w:numId w:val="15"/>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color w:val="FF0000"/>
                <w:sz w:val="24"/>
                <w:szCs w:val="24"/>
              </w:rPr>
              <w:t>those premises at which any Supplier Equipment or any part of the Supplier System is located (where any part of the Deliverables provided falls within Call-Off Schedule 6 (ICT Services);</w:t>
            </w:r>
          </w:p>
        </w:tc>
      </w:tr>
      <w:tr w:rsidR="00A27B63">
        <w:trPr>
          <w:trHeight w:val="945"/>
        </w:trPr>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27B63">
        <w:trPr>
          <w:trHeight w:val="945"/>
        </w:trPr>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27B63">
        <w:trPr>
          <w:trHeight w:val="945"/>
        </w:trPr>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27B63">
        <w:trPr>
          <w:trHeight w:val="945"/>
        </w:trPr>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rsidR="00A27B63" w:rsidRDefault="00FC6FEB">
            <w:pPr>
              <w:numPr>
                <w:ilvl w:val="0"/>
                <w:numId w:val="1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A27B63" w:rsidRDefault="00FC6FEB">
            <w:pPr>
              <w:numPr>
                <w:ilvl w:val="0"/>
                <w:numId w:val="1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A27B63" w:rsidRDefault="00FC6FEB">
            <w:pPr>
              <w:numPr>
                <w:ilvl w:val="0"/>
                <w:numId w:val="1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A27B63" w:rsidRDefault="00FC6FEB">
            <w:pPr>
              <w:numPr>
                <w:ilvl w:val="0"/>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A27B63" w:rsidRDefault="00FC6FEB">
            <w:pPr>
              <w:numPr>
                <w:ilvl w:val="0"/>
                <w:numId w:val="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A27B63" w:rsidRDefault="00FC6FEB">
            <w:pPr>
              <w:numPr>
                <w:ilvl w:val="0"/>
                <w:numId w:val="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A27B63" w:rsidRDefault="00FC6FEB">
            <w:pPr>
              <w:numPr>
                <w:ilvl w:val="0"/>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90" w:type="dxa"/>
          </w:tcPr>
          <w:p w:rsidR="00A27B63" w:rsidRDefault="00FC6FEB">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A27B63" w:rsidRDefault="00FC6FEB">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A27B63" w:rsidRDefault="00FC6FEB">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27B63">
        <w:tc>
          <w:tcPr>
            <w:tcW w:w="2400" w:type="dxa"/>
          </w:tcPr>
          <w:p w:rsidR="00A27B63" w:rsidRDefault="00FC6FEB">
            <w:pPr>
              <w:pBdr>
                <w:top w:val="nil"/>
                <w:left w:val="nil"/>
                <w:bottom w:val="nil"/>
                <w:right w:val="nil"/>
                <w:between w:val="nil"/>
              </w:pBdr>
              <w:tabs>
                <w:tab w:val="left" w:pos="1134"/>
              </w:tabs>
              <w:spacing w:before="120" w:after="120"/>
              <w:ind w:left="567" w:hanging="425"/>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90" w:type="dxa"/>
          </w:tcPr>
          <w:p w:rsidR="00A27B63" w:rsidRDefault="00FC6FEB">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A27B63" w:rsidRDefault="00FC6FEB">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A27B63" w:rsidRDefault="00FC6FEB">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A27B63" w:rsidRDefault="00FC6FEB">
            <w:pPr>
              <w:numPr>
                <w:ilvl w:val="0"/>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"Supporting Documentation"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“Tax”</w:t>
            </w:r>
          </w:p>
        </w:tc>
        <w:tc>
          <w:tcPr>
            <w:tcW w:w="7590" w:type="dxa"/>
          </w:tcPr>
          <w:p w:rsidR="00A27B63" w:rsidRDefault="00FC6FEB">
            <w:pPr>
              <w:tabs>
                <w:tab w:val="left" w:pos="-179"/>
                <w:tab w:val="left" w:pos="-9"/>
              </w:tabs>
              <w:spacing w:before="240" w:after="240"/>
              <w:ind w:left="320" w:hanging="160"/>
              <w:jc w:val="both"/>
              <w:rPr>
                <w:rFonts w:ascii="Arial" w:eastAsia="Arial" w:hAnsi="Arial" w:cs="Arial"/>
                <w:sz w:val="24"/>
                <w:szCs w:val="24"/>
              </w:rPr>
            </w:pPr>
            <w:r>
              <w:rPr>
                <w:rFonts w:ascii="Arial" w:eastAsia="Arial" w:hAnsi="Arial" w:cs="Arial"/>
                <w:sz w:val="24"/>
                <w:szCs w:val="24"/>
              </w:rPr>
              <w:t>a)  all forms of taxation whether direct or indirect;</w:t>
            </w:r>
          </w:p>
          <w:p w:rsidR="00A27B63" w:rsidRDefault="00FC6FEB">
            <w:pPr>
              <w:tabs>
                <w:tab w:val="left" w:pos="-179"/>
                <w:tab w:val="left" w:pos="-9"/>
              </w:tabs>
              <w:spacing w:before="240" w:after="240"/>
              <w:ind w:left="320" w:hanging="160"/>
              <w:jc w:val="both"/>
              <w:rPr>
                <w:rFonts w:ascii="Arial" w:eastAsia="Arial" w:hAnsi="Arial" w:cs="Arial"/>
                <w:sz w:val="24"/>
                <w:szCs w:val="24"/>
              </w:rPr>
            </w:pPr>
            <w:r>
              <w:rPr>
                <w:rFonts w:ascii="Arial" w:eastAsia="Arial" w:hAnsi="Arial" w:cs="Arial"/>
                <w:sz w:val="24"/>
                <w:szCs w:val="24"/>
              </w:rPr>
              <w:t>b) national insurance contributions in the United Kingdom and similar contributions or obligations in any other jurisdiction;</w:t>
            </w:r>
          </w:p>
          <w:p w:rsidR="00A27B63" w:rsidRDefault="00FC6FEB">
            <w:pPr>
              <w:tabs>
                <w:tab w:val="left" w:pos="-179"/>
                <w:tab w:val="left" w:pos="-9"/>
              </w:tabs>
              <w:spacing w:before="240" w:after="240"/>
              <w:ind w:left="320" w:hanging="160"/>
              <w:jc w:val="both"/>
              <w:rPr>
                <w:rFonts w:ascii="Arial" w:eastAsia="Arial" w:hAnsi="Arial" w:cs="Arial"/>
                <w:sz w:val="24"/>
                <w:szCs w:val="24"/>
              </w:rPr>
            </w:pPr>
            <w:r>
              <w:rPr>
                <w:rFonts w:ascii="Arial" w:eastAsia="Arial" w:hAnsi="Arial" w:cs="Arial"/>
                <w:sz w:val="24"/>
                <w:szCs w:val="24"/>
              </w:rPr>
              <w:t xml:space="preserve">c) </w:t>
            </w:r>
            <w:proofErr w:type="gramStart"/>
            <w:r>
              <w:rPr>
                <w:rFonts w:ascii="Arial" w:eastAsia="Arial" w:hAnsi="Arial" w:cs="Arial"/>
                <w:sz w:val="24"/>
                <w:szCs w:val="24"/>
              </w:rPr>
              <w:t>all</w:t>
            </w:r>
            <w:proofErr w:type="gramEnd"/>
            <w:r>
              <w:rPr>
                <w:rFonts w:ascii="Arial" w:eastAsia="Arial" w:hAnsi="Arial" w:cs="Arial"/>
                <w:sz w:val="24"/>
                <w:szCs w:val="24"/>
              </w:rPr>
              <w:t xml:space="preserve"> statutory, governmental, state, federal, provincial, local government or municipal charges, duties, imports, contributions. levies or liabilities (other than in return  for goods or services supplied or performed or to be performed) and withholdings; and</w:t>
            </w:r>
          </w:p>
          <w:p w:rsidR="00A27B63" w:rsidRDefault="00FC6FEB">
            <w:pPr>
              <w:tabs>
                <w:tab w:val="left" w:pos="-179"/>
                <w:tab w:val="left" w:pos="-9"/>
              </w:tabs>
              <w:spacing w:before="240" w:after="240"/>
              <w:ind w:left="320" w:hanging="160"/>
              <w:jc w:val="both"/>
              <w:rPr>
                <w:rFonts w:ascii="Arial" w:eastAsia="Arial" w:hAnsi="Arial" w:cs="Arial"/>
                <w:sz w:val="24"/>
                <w:szCs w:val="24"/>
              </w:rPr>
            </w:pPr>
            <w:r>
              <w:rPr>
                <w:rFonts w:ascii="Arial" w:eastAsia="Arial" w:hAnsi="Arial" w:cs="Arial"/>
                <w:sz w:val="24"/>
                <w:szCs w:val="24"/>
              </w:rPr>
              <w:t>d)  any penalty, fine, surcharge, interest, charges or costs relating to any of the above,</w:t>
            </w:r>
          </w:p>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in each case wherever chargeable and whether of the United Kingdom and any other jurisdiction;</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rsidR="00A27B63" w:rsidRDefault="00FC6FEB">
            <w:pPr>
              <w:numPr>
                <w:ilvl w:val="0"/>
                <w:numId w:val="7"/>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A27B63" w:rsidRDefault="00FC6FEB">
            <w:pPr>
              <w:numPr>
                <w:ilvl w:val="0"/>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27B63">
        <w:tc>
          <w:tcPr>
            <w:tcW w:w="2400" w:type="dxa"/>
          </w:tcPr>
          <w:p w:rsidR="00A27B63" w:rsidRDefault="00FC6FEB">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590" w:type="dxa"/>
          </w:tcPr>
          <w:p w:rsidR="00A27B63" w:rsidRDefault="00FC6FEB">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A27B63" w:rsidRDefault="00FC6FEB">
            <w:pPr>
              <w:keepNext/>
              <w:pBdr>
                <w:top w:val="nil"/>
                <w:left w:val="nil"/>
                <w:bottom w:val="nil"/>
                <w:right w:val="nil"/>
                <w:between w:val="nil"/>
              </w:pBdr>
              <w:tabs>
                <w:tab w:val="left" w:pos="-179"/>
                <w:tab w:val="left" w:pos="-9"/>
              </w:tabs>
              <w:spacing w:after="120"/>
              <w:ind w:left="720"/>
              <w:jc w:val="both"/>
              <w:rPr>
                <w:rFonts w:ascii="Arial" w:eastAsia="Arial" w:hAnsi="Arial" w:cs="Arial"/>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A27B63" w:rsidRDefault="00FC6FEB">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rsidR="00A27B63" w:rsidRDefault="00A27B63">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A27B63">
        <w:tc>
          <w:tcPr>
            <w:tcW w:w="2400" w:type="dxa"/>
          </w:tcPr>
          <w:p w:rsidR="00A27B63" w:rsidRDefault="00FC6FEB">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90" w:type="dxa"/>
          </w:tcPr>
          <w:p w:rsidR="00A27B63" w:rsidRDefault="00FC6FE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tbl>
    <w:p w:rsidR="00A27B63" w:rsidRDefault="00A27B63">
      <w:pPr>
        <w:spacing w:after="0" w:line="240" w:lineRule="auto"/>
        <w:rPr>
          <w:rFonts w:ascii="Arial" w:eastAsia="Arial" w:hAnsi="Arial" w:cs="Arial"/>
          <w:sz w:val="24"/>
          <w:szCs w:val="24"/>
        </w:rPr>
      </w:pPr>
    </w:p>
    <w:sectPr w:rsidR="00A27B63">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6D8" w:rsidRDefault="009F46D8">
      <w:pPr>
        <w:spacing w:after="0" w:line="240" w:lineRule="auto"/>
      </w:pPr>
      <w:r>
        <w:separator/>
      </w:r>
    </w:p>
  </w:endnote>
  <w:endnote w:type="continuationSeparator" w:id="0">
    <w:p w:rsidR="009F46D8" w:rsidRDefault="009F4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63" w:rsidRDefault="00FC6FE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RM6187</w:t>
    </w:r>
    <w:r>
      <w:rPr>
        <w:rFonts w:ascii="Arial" w:eastAsia="Arial" w:hAnsi="Arial" w:cs="Arial"/>
        <w:sz w:val="20"/>
        <w:szCs w:val="20"/>
      </w:rPr>
      <w:tab/>
      <w:t xml:space="preserve">                                           </w:t>
    </w:r>
  </w:p>
  <w:p w:rsidR="00A27B63" w:rsidRDefault="00FC6F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2EB5">
      <w:rPr>
        <w:rFonts w:ascii="Arial" w:eastAsia="Arial" w:hAnsi="Arial" w:cs="Arial"/>
        <w:noProof/>
        <w:color w:val="000000"/>
        <w:sz w:val="20"/>
        <w:szCs w:val="20"/>
      </w:rPr>
      <w:t>21</w:t>
    </w:r>
    <w:r>
      <w:rPr>
        <w:rFonts w:ascii="Arial" w:eastAsia="Arial" w:hAnsi="Arial" w:cs="Arial"/>
        <w:color w:val="000000"/>
        <w:sz w:val="20"/>
        <w:szCs w:val="20"/>
      </w:rPr>
      <w:fldChar w:fldCharType="end"/>
    </w:r>
  </w:p>
  <w:p w:rsidR="00A27B63" w:rsidRDefault="00FC6F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63" w:rsidRDefault="00FC6FE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A27B63" w:rsidRDefault="00FC6F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A27B63" w:rsidRDefault="00FC6F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6D8" w:rsidRDefault="009F46D8">
      <w:pPr>
        <w:spacing w:after="0" w:line="240" w:lineRule="auto"/>
      </w:pPr>
      <w:r>
        <w:separator/>
      </w:r>
    </w:p>
  </w:footnote>
  <w:footnote w:type="continuationSeparator" w:id="0">
    <w:p w:rsidR="009F46D8" w:rsidRDefault="009F46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63" w:rsidRDefault="00FC6FE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A27B63" w:rsidRDefault="00FC6FEB">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63" w:rsidRDefault="00FC6FEB">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A27B63" w:rsidRDefault="00FC6FEB">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68DB"/>
    <w:multiLevelType w:val="multilevel"/>
    <w:tmpl w:val="CB7833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CE42917"/>
    <w:multiLevelType w:val="multilevel"/>
    <w:tmpl w:val="3228A6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12F6EC1"/>
    <w:multiLevelType w:val="multilevel"/>
    <w:tmpl w:val="71542DB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6532905"/>
    <w:multiLevelType w:val="multilevel"/>
    <w:tmpl w:val="A1D6071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20DF4C4F"/>
    <w:multiLevelType w:val="multilevel"/>
    <w:tmpl w:val="8DBA7A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10D2F1B"/>
    <w:multiLevelType w:val="multilevel"/>
    <w:tmpl w:val="D83E74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68F63B0"/>
    <w:multiLevelType w:val="multilevel"/>
    <w:tmpl w:val="2FC868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DCE6B04"/>
    <w:multiLevelType w:val="multilevel"/>
    <w:tmpl w:val="873C934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EB510F4"/>
    <w:multiLevelType w:val="multilevel"/>
    <w:tmpl w:val="4A389D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FD372E4"/>
    <w:multiLevelType w:val="multilevel"/>
    <w:tmpl w:val="A590FBA4"/>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55251D3"/>
    <w:multiLevelType w:val="multilevel"/>
    <w:tmpl w:val="9CF6EEB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1" w15:restartNumberingAfterBreak="0">
    <w:nsid w:val="40A35D67"/>
    <w:multiLevelType w:val="multilevel"/>
    <w:tmpl w:val="E71CDE0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46C35D02"/>
    <w:multiLevelType w:val="multilevel"/>
    <w:tmpl w:val="A5982F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512A6C50"/>
    <w:multiLevelType w:val="multilevel"/>
    <w:tmpl w:val="F32C8E5C"/>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54076241"/>
    <w:multiLevelType w:val="multilevel"/>
    <w:tmpl w:val="296A2256"/>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81A2876"/>
    <w:multiLevelType w:val="multilevel"/>
    <w:tmpl w:val="BF4446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92063D5"/>
    <w:multiLevelType w:val="multilevel"/>
    <w:tmpl w:val="38242CE6"/>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7" w15:restartNumberingAfterBreak="0">
    <w:nsid w:val="5DAA1402"/>
    <w:multiLevelType w:val="multilevel"/>
    <w:tmpl w:val="73E8112A"/>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68EF5F3B"/>
    <w:multiLevelType w:val="multilevel"/>
    <w:tmpl w:val="3D64868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3437FF"/>
    <w:multiLevelType w:val="multilevel"/>
    <w:tmpl w:val="C0B2F8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7A7F38E0"/>
    <w:multiLevelType w:val="multilevel"/>
    <w:tmpl w:val="4F6690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7BC21B85"/>
    <w:multiLevelType w:val="multilevel"/>
    <w:tmpl w:val="E29C2AC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E056A5E"/>
    <w:multiLevelType w:val="multilevel"/>
    <w:tmpl w:val="CF687F3A"/>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FAF4183"/>
    <w:multiLevelType w:val="multilevel"/>
    <w:tmpl w:val="053AD0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2"/>
  </w:num>
  <w:num w:numId="2">
    <w:abstractNumId w:val="6"/>
  </w:num>
  <w:num w:numId="3">
    <w:abstractNumId w:val="19"/>
  </w:num>
  <w:num w:numId="4">
    <w:abstractNumId w:val="17"/>
  </w:num>
  <w:num w:numId="5">
    <w:abstractNumId w:val="23"/>
  </w:num>
  <w:num w:numId="6">
    <w:abstractNumId w:val="14"/>
  </w:num>
  <w:num w:numId="7">
    <w:abstractNumId w:val="13"/>
  </w:num>
  <w:num w:numId="8">
    <w:abstractNumId w:val="18"/>
  </w:num>
  <w:num w:numId="9">
    <w:abstractNumId w:val="0"/>
  </w:num>
  <w:num w:numId="10">
    <w:abstractNumId w:val="1"/>
  </w:num>
  <w:num w:numId="11">
    <w:abstractNumId w:val="4"/>
  </w:num>
  <w:num w:numId="12">
    <w:abstractNumId w:val="3"/>
  </w:num>
  <w:num w:numId="13">
    <w:abstractNumId w:val="5"/>
  </w:num>
  <w:num w:numId="14">
    <w:abstractNumId w:val="8"/>
  </w:num>
  <w:num w:numId="15">
    <w:abstractNumId w:val="15"/>
  </w:num>
  <w:num w:numId="16">
    <w:abstractNumId w:val="12"/>
  </w:num>
  <w:num w:numId="17">
    <w:abstractNumId w:val="2"/>
  </w:num>
  <w:num w:numId="18">
    <w:abstractNumId w:val="10"/>
  </w:num>
  <w:num w:numId="19">
    <w:abstractNumId w:val="11"/>
  </w:num>
  <w:num w:numId="20">
    <w:abstractNumId w:val="16"/>
  </w:num>
  <w:num w:numId="21">
    <w:abstractNumId w:val="20"/>
  </w:num>
  <w:num w:numId="22">
    <w:abstractNumId w:val="7"/>
  </w:num>
  <w:num w:numId="23">
    <w:abstractNumId w:val="2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63"/>
    <w:rsid w:val="00302EB5"/>
    <w:rsid w:val="009F46D8"/>
    <w:rsid w:val="00A27B63"/>
    <w:rsid w:val="00C16431"/>
    <w:rsid w:val="00FC6F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CF51"/>
  <w15:docId w15:val="{07989181-25C9-4B6A-AD95-8EB363B3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CiiIS9O8W1RlAnDBX5WTC93VtQ==">AMUW2mUU+Y23UPtDo88DPGJDccGbcjDgiSKBwJB5c7c/Gh9m/3M4oztpIVEaxe/3uTNPdm7GwZpFsmpSUhIvAokjJoemaM9gWJEhClpeE0YWUOAl2XCIOQY1Ju+k+3qf+bePjYzdZhYNP+qVzht6C7YyPDfSvULFWzTZ+uO8taqsdRPMWkS3VnaI+qelujfYNd0ljzJa0mnsoj7TXEkNPIvEIZIRkMFHbk8FwMtmWJIsdxe25tLZR+o=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9505</Words>
  <Characters>54182</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lastModifiedBy>David Pyle</cp:lastModifiedBy>
  <cp:revision>4</cp:revision>
  <dcterms:created xsi:type="dcterms:W3CDTF">2021-02-25T16:24:00Z</dcterms:created>
  <dcterms:modified xsi:type="dcterms:W3CDTF">2021-03-01T15:35:00Z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